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 xml:space="preserve">第三部分  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年孟州市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市本级财政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预算收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支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情况的说明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孟州市市本级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一般公共预算收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支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 xml:space="preserve">    一、孟州市市本级地方一般公共预算总收入安排情况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118826</w:t>
      </w:r>
      <w:r>
        <w:rPr>
          <w:rFonts w:hint="eastAsia" w:ascii="仿宋" w:hAnsi="仿宋" w:eastAsia="仿宋"/>
          <w:sz w:val="32"/>
          <w:szCs w:val="32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5.4</w:t>
      </w:r>
      <w:r>
        <w:rPr>
          <w:rFonts w:hint="eastAsia" w:ascii="仿宋" w:hAnsi="仿宋" w:eastAsia="仿宋"/>
          <w:sz w:val="32"/>
          <w:szCs w:val="32"/>
        </w:rPr>
        <w:t>%，增加收入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6043</w:t>
      </w:r>
      <w:r>
        <w:rPr>
          <w:rFonts w:hint="eastAsia" w:ascii="仿宋" w:hAnsi="仿宋" w:eastAsia="仿宋"/>
          <w:sz w:val="32"/>
          <w:szCs w:val="32"/>
        </w:rPr>
        <w:t>万元；其中：税收收入安排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88456</w:t>
      </w:r>
      <w:r>
        <w:rPr>
          <w:rFonts w:hint="eastAsia" w:ascii="仿宋" w:hAnsi="仿宋" w:eastAsia="仿宋"/>
          <w:sz w:val="32"/>
          <w:szCs w:val="32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9.7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30370万元，较上年完成数下降5.4%。</w:t>
      </w:r>
      <w:r>
        <w:rPr>
          <w:rFonts w:hint="eastAsia" w:ascii="仿宋" w:hAnsi="仿宋" w:eastAsia="仿宋"/>
          <w:sz w:val="32"/>
          <w:szCs w:val="32"/>
          <w:lang w:eastAsia="zh-CN"/>
        </w:rPr>
        <w:t>主要税种安排情况：</w:t>
      </w:r>
    </w:p>
    <w:p>
      <w:pPr>
        <w:ind w:firstLine="643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sz w:val="32"/>
          <w:szCs w:val="32"/>
        </w:rPr>
        <w:t>增值税收入安排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14227</w:t>
      </w:r>
      <w:r>
        <w:rPr>
          <w:rFonts w:hint="eastAsia" w:ascii="仿宋" w:hAnsi="仿宋" w:eastAsia="仿宋"/>
          <w:color w:val="auto"/>
          <w:sz w:val="32"/>
          <w:szCs w:val="32"/>
        </w:rPr>
        <w:t>万元，比去年完成数增长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4.1</w:t>
      </w:r>
      <w:r>
        <w:rPr>
          <w:rFonts w:hint="eastAsia" w:ascii="仿宋" w:hAnsi="仿宋" w:eastAsia="仿宋"/>
          <w:color w:val="auto"/>
          <w:sz w:val="32"/>
          <w:szCs w:val="32"/>
        </w:rPr>
        <w:t>%，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主要原因是：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一是实体企业方面增税，隆丰、晶能、金玉米、大地合金、皓泽电子、东泰药业、御杰中福、鼎锐科技、皮毛制鞋电商集团产业园建设企业等。二是新开发的房地产项目及建设工程有望增税，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如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中土</w:t>
      </w:r>
      <w:r>
        <w:rPr>
          <w:rFonts w:hint="eastAsia" w:ascii="仿宋_GB2312" w:hAnsi="仿宋" w:eastAsia="仿宋_GB2312"/>
          <w:sz w:val="32"/>
          <w:szCs w:val="32"/>
        </w:rPr>
        <w:t>置业、中诚置业、华诚置业、众悦置业、建祥置业、优屋置业、家栋置业、中恒置业、快活林项目、九龙置业等。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color w:val="00B0F0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企业所得税收入安排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4567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万元，比去年完成数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增长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2.4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税务部门</w:t>
      </w:r>
      <w:r>
        <w:rPr>
          <w:rFonts w:hint="eastAsia" w:ascii="仿宋_GB2312" w:hAnsi="Times New Roman" w:eastAsia="仿宋_GB2312"/>
          <w:sz w:val="32"/>
          <w:szCs w:val="32"/>
        </w:rPr>
        <w:t>强化征收管理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继续推进房地产一体化管理，做好企业所得税的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征缴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资源税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收入安排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1292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万元，比去年完成数增长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%，主要原因是：</w:t>
      </w:r>
      <w:r>
        <w:rPr>
          <w:rFonts w:hint="eastAsia" w:ascii="仿宋" w:hAnsi="仿宋" w:eastAsia="仿宋"/>
          <w:color w:val="auto"/>
          <w:sz w:val="30"/>
          <w:szCs w:val="30"/>
        </w:rPr>
        <w:t>2020年市政府</w:t>
      </w:r>
      <w:r>
        <w:rPr>
          <w:rFonts w:ascii="仿宋" w:hAnsi="仿宋" w:eastAsia="仿宋"/>
          <w:color w:val="auto"/>
          <w:sz w:val="30"/>
          <w:szCs w:val="30"/>
        </w:rPr>
        <w:t>整合河沙资源，成立海容砂石公司，</w:t>
      </w:r>
      <w:r>
        <w:rPr>
          <w:rFonts w:hint="eastAsia" w:ascii="仿宋" w:hAnsi="仿宋" w:eastAsia="仿宋"/>
          <w:color w:val="auto"/>
          <w:sz w:val="30"/>
          <w:szCs w:val="30"/>
        </w:rPr>
        <w:t>预计实现资源税增收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b w:val="0"/>
          <w:bCs/>
          <w:sz w:val="32"/>
          <w:szCs w:val="32"/>
        </w:rPr>
      </w:pPr>
      <w:r>
        <w:rPr>
          <w:rFonts w:hint="eastAsia" w:ascii="仿宋" w:hAnsi="仿宋" w:eastAsia="仿宋" w:cs="宋体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 w:val="0"/>
          <w:bCs/>
          <w:sz w:val="32"/>
          <w:szCs w:val="32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78508</w:t>
      </w:r>
      <w:r>
        <w:rPr>
          <w:rFonts w:hint="eastAsia" w:ascii="仿宋" w:hAnsi="仿宋" w:eastAsia="仿宋" w:cs="宋体"/>
          <w:sz w:val="32"/>
          <w:szCs w:val="32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68627</w:t>
      </w:r>
      <w:r>
        <w:rPr>
          <w:rFonts w:hint="eastAsia" w:ascii="仿宋" w:hAnsi="仿宋" w:eastAsia="仿宋" w:cs="宋体"/>
          <w:sz w:val="32"/>
          <w:szCs w:val="32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2134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1.返还性收入7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747</w:t>
      </w:r>
      <w:r>
        <w:rPr>
          <w:rFonts w:hint="eastAsia" w:ascii="仿宋" w:hAnsi="仿宋" w:eastAsia="仿宋" w:cs="宋体"/>
          <w:sz w:val="32"/>
          <w:szCs w:val="32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68627</w:t>
      </w:r>
      <w:r>
        <w:rPr>
          <w:rFonts w:hint="eastAsia" w:ascii="仿宋" w:hAnsi="仿宋" w:eastAsia="仿宋" w:cs="宋体"/>
          <w:sz w:val="32"/>
          <w:szCs w:val="32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13925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万元、结算补助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2289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1299万元、固定数额补助9060万元、贫困地区转移支付1051万元、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791万元、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教育共同财政事权转移支付收入5250万元、文化旅游体育与传媒共同财政事权转移支付收入94万元、社会保障和就业共同财政事权转移支付收入13632万元、医疗卫生共同财政事权转移支付收入15731万元、节能环保共同财政事权转移支付收入294万元、农林水共同财政事权转移支付收入4958万元、住房保障共同财政事权转移支付收入253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2134</w:t>
      </w:r>
      <w:r>
        <w:rPr>
          <w:rFonts w:hint="eastAsia" w:ascii="仿宋" w:hAnsi="仿宋" w:eastAsia="仿宋" w:cs="宋体"/>
          <w:sz w:val="32"/>
          <w:szCs w:val="32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20万元、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教育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54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万元、文化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体育与传媒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万元、农林水事务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3460</w:t>
      </w:r>
      <w:r>
        <w:rPr>
          <w:rFonts w:hint="eastAsia" w:ascii="仿宋" w:hAnsi="仿宋" w:eastAsia="仿宋" w:cs="宋体"/>
          <w:sz w:val="32"/>
          <w:szCs w:val="32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1005</w:t>
      </w:r>
      <w:r>
        <w:rPr>
          <w:rFonts w:hint="eastAsia" w:ascii="仿宋" w:hAnsi="仿宋" w:eastAsia="仿宋" w:cs="宋体"/>
          <w:sz w:val="32"/>
          <w:szCs w:val="32"/>
        </w:rPr>
        <w:t>万元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，地方政府一般债务转贷收入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2400万元，市乡（镇））体制结算上解收入11814万元</w:t>
      </w:r>
      <w:r>
        <w:rPr>
          <w:rFonts w:hint="eastAsia" w:ascii="仿宋" w:hAnsi="仿宋" w:eastAsia="仿宋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118826</w:t>
      </w:r>
      <w:r>
        <w:rPr>
          <w:rFonts w:hint="eastAsia" w:ascii="仿宋" w:hAnsi="仿宋" w:eastAsia="仿宋" w:cs="宋体"/>
          <w:sz w:val="32"/>
          <w:szCs w:val="32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预算稳定平衡基金、上年结转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、市乡（镇）体制结算上解</w:t>
      </w:r>
      <w:r>
        <w:rPr>
          <w:rFonts w:hint="eastAsia" w:ascii="仿宋" w:hAnsi="仿宋" w:eastAsia="仿宋" w:cs="宋体"/>
          <w:sz w:val="32"/>
          <w:szCs w:val="32"/>
        </w:rPr>
        <w:t>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216013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b/>
          <w:sz w:val="32"/>
          <w:szCs w:val="32"/>
        </w:rPr>
        <w:t>二、20</w:t>
      </w: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b/>
          <w:sz w:val="32"/>
          <w:szCs w:val="32"/>
        </w:rPr>
        <w:t>年孟州市</w:t>
      </w:r>
      <w:r>
        <w:rPr>
          <w:rFonts w:hint="eastAsia" w:ascii="仿宋" w:hAnsi="仿宋" w:eastAsia="仿宋" w:cs="宋体"/>
          <w:b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 w:cs="宋体"/>
          <w:b/>
          <w:sz w:val="32"/>
          <w:szCs w:val="32"/>
        </w:rPr>
        <w:t>一般公共预算支出情况的说明</w:t>
      </w:r>
    </w:p>
    <w:p>
      <w:pPr>
        <w:pStyle w:val="2"/>
        <w:spacing w:before="0" w:beforeAutospacing="0" w:after="0" w:afterAutospacing="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2"/>
          <w:sz w:val="32"/>
          <w:szCs w:val="32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</w:rPr>
        <w:t>年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 w:cs="宋体"/>
          <w:kern w:val="2"/>
          <w:sz w:val="32"/>
          <w:szCs w:val="32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216013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194377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81.8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，主要原因是：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2020年预算提前告知上级补助78508万元，比2019年决算（执行）数中上级补助126767万元减少48259万元。</w:t>
      </w:r>
      <w:r>
        <w:rPr>
          <w:rFonts w:hint="eastAsia" w:ascii="仿宋" w:hAnsi="仿宋" w:eastAsia="仿宋" w:cs="宋体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21636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万元。主要支出功能科目是：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22639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52.6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136万元，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96.5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12435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82.9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38435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98.5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4339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955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57.3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36378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113.5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29293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80.2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4423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38.3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2019年上级转移支付安排支出7386万元，2020年预算安排上级转移支付提前告知资金294万元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5459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57.9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17509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69.4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7172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131.5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2020年提前告知新增一般债券安排支出2400万元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23.6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2019年上级转移支付安排中央外经贸发展支出357万元，2020年预算安排时上级转移支付暂未下达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442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40.9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2019年上级转移支付安排优质粮食工程及粮食生产一次性奖励资金732万元，2020年预算安排时上级转移支付暂未下达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2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854万元，占上年决算（执行）数的177.9%，主要原因是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2019年上级转移支付安排灾害防治等项目资金185万元，2020年预算安排时上级转移支付暂未下达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16、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5386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106.3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三、孟州市市本级“三公”经费预算安排情况</w:t>
      </w: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市本级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部门预算，20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1010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18.9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，增加支出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161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因公出国（境）费0万元，与2019年持平。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公务接待安排360万元，比2019年下降3%，减少支出11万元，下降主要原因是严格执行八项规定，压缩公务活动接待。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650万元，比2019年增长36%,增加支出172万元。其中：车辆购置309万元，比2019年增加190万元,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原因是按照公车购置规定，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2020年更新购置公务用车14辆，金额309万元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341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2019年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,减少支出18万元，主要原因是严格控制使用公务用车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FF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四、一般债务限额余额情况说明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</w:rPr>
        <w:t>根据《焦作市财政局关于下达201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新增地方</w:t>
      </w:r>
      <w:r>
        <w:rPr>
          <w:rFonts w:hint="eastAsia" w:ascii="仿宋" w:hAnsi="仿宋" w:eastAsia="仿宋"/>
          <w:color w:val="auto"/>
          <w:sz w:val="32"/>
          <w:szCs w:val="32"/>
        </w:rPr>
        <w:t>政府债务限额的通知》（焦财预【201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】2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05</w:t>
      </w:r>
      <w:r>
        <w:rPr>
          <w:rFonts w:hint="eastAsia" w:ascii="仿宋" w:hAnsi="仿宋" w:eastAsia="仿宋"/>
          <w:color w:val="auto"/>
          <w:sz w:val="32"/>
          <w:szCs w:val="32"/>
        </w:rPr>
        <w:t>号）的有关要求，焦作市级下达我市的201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年一般债务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19.92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截止201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年末，我市地方政府性一般债务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16.34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2020年3月上级下达</w:t>
      </w:r>
      <w:r>
        <w:rPr>
          <w:rFonts w:hint="eastAsia" w:ascii="仿宋" w:hAnsi="仿宋" w:eastAsia="仿宋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0.24亿元（用于黄河西路一期工程0.143亿元、四好农村路建设0.097亿元），一般债务余额为16.58亿元。我市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地方债务规模严格控制在规定限额之内。</w:t>
      </w:r>
      <w:bookmarkStart w:id="0" w:name="_GoBack"/>
      <w:bookmarkEnd w:id="0"/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宋体"/>
          <w:b/>
          <w:color w:val="auto"/>
          <w:sz w:val="32"/>
          <w:szCs w:val="32"/>
        </w:rPr>
      </w:pPr>
      <w:r>
        <w:rPr>
          <w:rFonts w:hint="eastAsia" w:ascii="仿宋" w:hAnsi="仿宋" w:eastAsia="仿宋" w:cs="宋体"/>
          <w:b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宋体"/>
          <w:b/>
          <w:color w:val="auto"/>
          <w:sz w:val="32"/>
          <w:szCs w:val="32"/>
        </w:rPr>
        <w:t>20</w:t>
      </w:r>
      <w:r>
        <w:rPr>
          <w:rFonts w:hint="eastAsia" w:ascii="仿宋" w:hAnsi="仿宋" w:eastAsia="仿宋" w:cs="宋体"/>
          <w:b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b/>
          <w:color w:val="auto"/>
          <w:sz w:val="32"/>
          <w:szCs w:val="32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62312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万元，比去年完成数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61140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1172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万元，原因主要是：20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年上级债券转贷新增专项收入安排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2019年预算上级下达专项债券资金8000万元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。其中：</w:t>
      </w:r>
    </w:p>
    <w:p>
      <w:pPr>
        <w:widowControl/>
        <w:autoSpaceDN w:val="0"/>
        <w:spacing w:line="560" w:lineRule="atLeas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（一）地方级预算收入安排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43000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万元，比去年完成数增长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4.7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%，增加收入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1919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万元。主要收入项目是：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40000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  城市基础设施配套费收入安排1000万元；</w:t>
      </w:r>
    </w:p>
    <w:p>
      <w:pPr>
        <w:widowControl/>
        <w:numPr>
          <w:ilvl w:val="0"/>
          <w:numId w:val="3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（二）上级提前告知转移支付补助收入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5750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万元，比去年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补助收入减少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1513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旅游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体育传媒收入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国有土地使用权出让金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485万元、水利移民扶持专项183万元、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（三）上年结转收入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（四）地方专项债券收入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13500万元。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</w:rPr>
        <w:t>、20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62312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54676万元，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100.9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；地方政府专项债务支出安排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7626万元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。主要支出科目是：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 xml:space="preserve">    1、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文化体育与传媒支出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旅游厕所建设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</w:t>
      </w:r>
    </w:p>
    <w:p>
      <w:pPr>
        <w:widowControl/>
        <w:autoSpaceDN w:val="0"/>
        <w:spacing w:line="560" w:lineRule="atLeas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2、社会保障和就业支出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5062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 xml:space="preserve">    3、城乡社区事务支出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33741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万元，主要用于：土地出让征地拆迁补偿、被征地农民、公共租赁住房、农业土地开发、污水处理费等项目。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183万元，主要用于水利移民扶持项目。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13505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事业彩票公益金、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产业集聚区自来水厂项目、产业集聚区电子产业园项目、融媒体中心建设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2170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kern w:val="0"/>
          <w:sz w:val="32"/>
          <w:szCs w:val="32"/>
          <w:lang w:val="en-US" w:eastAsia="zh-CN"/>
        </w:rPr>
        <w:t>三、专项债务限额和余额情况说明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"/>
        </w:rPr>
        <w:t>根据</w:t>
      </w: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lang w:val="en-US" w:eastAsia="zh-CN" w:bidi="ar"/>
        </w:rPr>
        <w:t>《焦作市财政局关于下达2019年新增地方政府债务限额的通知》（焦财预【2019】205号）的有关要求</w:t>
      </w:r>
      <w:r>
        <w:rPr>
          <w:rFonts w:hint="eastAsia" w:ascii="仿宋" w:hAnsi="仿宋" w:eastAsia="仿宋"/>
          <w:color w:val="auto"/>
          <w:sz w:val="32"/>
          <w:szCs w:val="32"/>
        </w:rPr>
        <w:t>，焦作市下达我市的201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</w:rPr>
        <w:t>年政府专项债务限额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5.53</w:t>
      </w:r>
      <w:r>
        <w:rPr>
          <w:rFonts w:hint="eastAsia" w:ascii="仿宋" w:hAnsi="仿宋" w:eastAsia="仿宋"/>
          <w:color w:val="auto"/>
          <w:sz w:val="32"/>
          <w:szCs w:val="32"/>
        </w:rPr>
        <w:t>亿元。截止201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年末，我市地方政府性专项债务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5.28</w:t>
      </w:r>
      <w:r>
        <w:rPr>
          <w:rFonts w:hint="eastAsia" w:ascii="仿宋" w:hAnsi="仿宋" w:eastAsia="仿宋"/>
          <w:color w:val="auto"/>
          <w:sz w:val="32"/>
          <w:szCs w:val="32"/>
        </w:rPr>
        <w:t>亿元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地方债务规模严格控制在规定限额之内。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由于我市社会保险基金预算包含市本级和乡镇预算，未独立核算市本级社保基金预算，因此市本级暂未编制社保基金预算。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第四章  孟州市国有资本经营预算收支情况说明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受政策以及各种因素影响，我市国有企业经营困难，20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年预测无盈利收入，未安排预算。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sz w:val="32"/>
          <w:szCs w:val="32"/>
          <w:shd w:val="clear" w:color="auto" w:fill="FFFFFF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shd w:val="clear" w:color="auto" w:fill="FFFFFF"/>
          <w:lang w:val="en-US" w:eastAsia="zh-CN"/>
        </w:rPr>
        <w:t xml:space="preserve">   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2020年孟州市市本级一般公共预算收支情况表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附表一（表一）：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2020年孟州市市本级一般公共预算收支情况总表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附表一（表二）：2020年孟州市市本级一般公共预算收入情况表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附表一（表三）：2020年孟州市市本级一般公共预算支出情况表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附表一（表四）：2020年孟州市市本级一般公共预算支出明细表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附表一（表五）：2020年孟州市市本级基本支出政府经济分类明细表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附表一（表六）：2020年孟州市市本级一般公共预算收入返还和转移支付情况表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附表一（表七）：2020年孟州市市本级“三公”经费安排情况表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附表一（表八）：2019年孟州市市本级一般债务限额和余额情况表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附表一（表九）：2020年重点项目绩效目标表（包含</w:t>
      </w:r>
      <w:r>
        <w:rPr>
          <w:rFonts w:hint="eastAsia" w:ascii="仿宋" w:hAnsi="仿宋" w:eastAsia="仿宋" w:cs="宋体"/>
          <w:color w:val="C00000"/>
          <w:sz w:val="32"/>
          <w:szCs w:val="32"/>
          <w:highlight w:val="none"/>
          <w:lang w:val="en-US" w:eastAsia="zh-CN"/>
        </w:rPr>
        <w:t>五个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项目绩效目标表）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附表二：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 xml:space="preserve">2020年孟州市市本级政府性基金预算收支情况表 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附表二（表一）2020年孟州市市本级政府性基金预算收支总表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附表二（表二）：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2020年孟州市市本级政府性基金预算收入总表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附表二（表三）:  2020年孟州市市本级政府性基金预算支出总表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附表二（表四）：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2020年孟州市市本级政府性基金预算转移支付情况表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 附表二（表五）:  2020年孟州市市本级政府性基金专项转移支付表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附表二（表六）:  2020年孟州市市本级专项债务限额和余额情况表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附表三：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2020年孟州市市本级社会保险基金预算收支情况表</w:t>
      </w:r>
    </w:p>
    <w:p>
      <w:pPr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 xml:space="preserve">    附表三（表一）：2020年社会保险基金收入预算表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附表三（表二）：2020年社会保险基金支出预算表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附表四：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2020年孟州市市本级国有资本经营预算收支情况表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附表四（表一）：2020年孟州市市本级国有资本经营预算收入情况表</w:t>
      </w:r>
    </w:p>
    <w:p>
      <w:pPr>
        <w:ind w:firstLine="640"/>
        <w:jc w:val="both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附表四（表二 ）：2020年孟州市市本级国有资本经营预算支出情况表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both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132E"/>
    <w:multiLevelType w:val="multilevel"/>
    <w:tmpl w:val="106B132E"/>
    <w:lvl w:ilvl="0" w:tentative="0">
      <w:start w:val="1"/>
      <w:numFmt w:val="decimal"/>
      <w:lvlText w:val="%1、"/>
      <w:lvlJc w:val="left"/>
      <w:pPr>
        <w:ind w:left="136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1" w:hanging="420"/>
      </w:pPr>
    </w:lvl>
    <w:lvl w:ilvl="2" w:tentative="0">
      <w:start w:val="1"/>
      <w:numFmt w:val="lowerRoman"/>
      <w:lvlText w:val="%3."/>
      <w:lvlJc w:val="right"/>
      <w:pPr>
        <w:ind w:left="1901" w:hanging="420"/>
      </w:pPr>
    </w:lvl>
    <w:lvl w:ilvl="3" w:tentative="0">
      <w:start w:val="1"/>
      <w:numFmt w:val="decimal"/>
      <w:lvlText w:val="%4."/>
      <w:lvlJc w:val="left"/>
      <w:pPr>
        <w:ind w:left="2321" w:hanging="420"/>
      </w:pPr>
    </w:lvl>
    <w:lvl w:ilvl="4" w:tentative="0">
      <w:start w:val="1"/>
      <w:numFmt w:val="lowerLetter"/>
      <w:lvlText w:val="%5)"/>
      <w:lvlJc w:val="left"/>
      <w:pPr>
        <w:ind w:left="2741" w:hanging="420"/>
      </w:pPr>
    </w:lvl>
    <w:lvl w:ilvl="5" w:tentative="0">
      <w:start w:val="1"/>
      <w:numFmt w:val="lowerRoman"/>
      <w:lvlText w:val="%6."/>
      <w:lvlJc w:val="right"/>
      <w:pPr>
        <w:ind w:left="3161" w:hanging="420"/>
      </w:pPr>
    </w:lvl>
    <w:lvl w:ilvl="6" w:tentative="0">
      <w:start w:val="1"/>
      <w:numFmt w:val="decimal"/>
      <w:lvlText w:val="%7."/>
      <w:lvlJc w:val="left"/>
      <w:pPr>
        <w:ind w:left="3581" w:hanging="420"/>
      </w:pPr>
    </w:lvl>
    <w:lvl w:ilvl="7" w:tentative="0">
      <w:start w:val="1"/>
      <w:numFmt w:val="lowerLetter"/>
      <w:lvlText w:val="%8)"/>
      <w:lvlJc w:val="left"/>
      <w:pPr>
        <w:ind w:left="4001" w:hanging="420"/>
      </w:pPr>
    </w:lvl>
    <w:lvl w:ilvl="8" w:tentative="0">
      <w:start w:val="1"/>
      <w:numFmt w:val="lowerRoman"/>
      <w:lvlText w:val="%9."/>
      <w:lvlJc w:val="right"/>
      <w:pPr>
        <w:ind w:left="4421" w:hanging="420"/>
      </w:pPr>
    </w:lvl>
  </w:abstractNum>
  <w:abstractNum w:abstractNumId="1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2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27A66F1"/>
    <w:rsid w:val="05FE1964"/>
    <w:rsid w:val="093A1937"/>
    <w:rsid w:val="095C5D13"/>
    <w:rsid w:val="0C295DFF"/>
    <w:rsid w:val="124F7DA7"/>
    <w:rsid w:val="17614ABB"/>
    <w:rsid w:val="19EE711F"/>
    <w:rsid w:val="1A9B6487"/>
    <w:rsid w:val="1BF7377F"/>
    <w:rsid w:val="1CA93B54"/>
    <w:rsid w:val="1CAD3941"/>
    <w:rsid w:val="1CF870EF"/>
    <w:rsid w:val="1EA3393E"/>
    <w:rsid w:val="1FDD7CEF"/>
    <w:rsid w:val="21585E53"/>
    <w:rsid w:val="25764191"/>
    <w:rsid w:val="27D20C09"/>
    <w:rsid w:val="28AD70E4"/>
    <w:rsid w:val="2B907346"/>
    <w:rsid w:val="2C4331E6"/>
    <w:rsid w:val="2DC57BC6"/>
    <w:rsid w:val="2E05159F"/>
    <w:rsid w:val="2E9D5D1C"/>
    <w:rsid w:val="2EFA2DE8"/>
    <w:rsid w:val="3637575C"/>
    <w:rsid w:val="3662112E"/>
    <w:rsid w:val="36C43173"/>
    <w:rsid w:val="37A852B1"/>
    <w:rsid w:val="3C291C56"/>
    <w:rsid w:val="3CEA0150"/>
    <w:rsid w:val="3D07003E"/>
    <w:rsid w:val="401F75ED"/>
    <w:rsid w:val="430B3D13"/>
    <w:rsid w:val="455D11D4"/>
    <w:rsid w:val="46D20185"/>
    <w:rsid w:val="4725218D"/>
    <w:rsid w:val="47C2595A"/>
    <w:rsid w:val="51BF6CE0"/>
    <w:rsid w:val="5362780A"/>
    <w:rsid w:val="55845899"/>
    <w:rsid w:val="58E660B7"/>
    <w:rsid w:val="59293748"/>
    <w:rsid w:val="5BFE3308"/>
    <w:rsid w:val="5C8239C9"/>
    <w:rsid w:val="5E2C5EEC"/>
    <w:rsid w:val="641E0553"/>
    <w:rsid w:val="67722828"/>
    <w:rsid w:val="67BC5819"/>
    <w:rsid w:val="684D6B79"/>
    <w:rsid w:val="6CB76FCF"/>
    <w:rsid w:val="6DCA6C71"/>
    <w:rsid w:val="6DE04EF6"/>
    <w:rsid w:val="6E72268A"/>
    <w:rsid w:val="73461528"/>
    <w:rsid w:val="74172F92"/>
    <w:rsid w:val="75C80E95"/>
    <w:rsid w:val="772824F9"/>
    <w:rsid w:val="78E479F4"/>
    <w:rsid w:val="7BC42AA4"/>
    <w:rsid w:val="7C5C2B99"/>
    <w:rsid w:val="7D9504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dcterms:modified xsi:type="dcterms:W3CDTF">2021-06-01T10:34:56Z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